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56"/>
      </w:tblGrid>
      <w:tr w:rsidR="00C8749E" w14:paraId="1487952A" w14:textId="77777777">
        <w:tc>
          <w:tcPr>
            <w:tcW w:w="10206" w:type="dxa"/>
            <w:shd w:val="clear" w:color="auto" w:fill="1B3A6B"/>
            <w:tcMar>
              <w:top w:w="200" w:type="dxa"/>
              <w:left w:w="300" w:type="dxa"/>
              <w:bottom w:w="200" w:type="dxa"/>
              <w:right w:w="300" w:type="dxa"/>
            </w:tcMar>
          </w:tcPr>
          <w:p w14:paraId="48801C95" w14:textId="77777777" w:rsidR="00C8749E" w:rsidRDefault="008D2FBD">
            <w:pPr>
              <w:jc w:val="center"/>
            </w:pPr>
            <w:r>
              <w:rPr>
                <w:rFonts w:ascii="Arial" w:eastAsia="Arial" w:hAnsi="Arial" w:cs="Arial"/>
                <w:b/>
                <w:bCs/>
                <w:color w:val="FFFFFF"/>
                <w:sz w:val="32"/>
                <w:szCs w:val="32"/>
              </w:rPr>
              <w:t>CFE-CGC SANTÉ SOCIAL</w:t>
            </w:r>
          </w:p>
          <w:p w14:paraId="75D5576B" w14:textId="7923275A" w:rsidR="00C8749E" w:rsidRDefault="005F2EE7">
            <w:pPr>
              <w:spacing w:before="40"/>
              <w:jc w:val="center"/>
            </w:pPr>
            <w:r>
              <w:rPr>
                <w:rFonts w:ascii="Arial" w:eastAsia="Arial" w:hAnsi="Arial" w:cs="Arial"/>
                <w:b/>
                <w:bCs/>
                <w:i/>
                <w:iCs/>
                <w:color w:val="FFFFFF"/>
                <w:sz w:val="18"/>
                <w:szCs w:val="18"/>
              </w:rPr>
              <w:t>Les Techniciens, les Agents de Maitrise et l’Encadrement</w:t>
            </w:r>
            <w:r w:rsidR="008D2FBD">
              <w:rPr>
                <w:rFonts w:ascii="Arial" w:eastAsia="Arial" w:hAnsi="Arial" w:cs="Arial"/>
                <w:b/>
                <w:bCs/>
                <w:i/>
                <w:iCs/>
                <w:color w:val="FFFFFF"/>
                <w:sz w:val="18"/>
                <w:szCs w:val="18"/>
              </w:rPr>
              <w:t xml:space="preserve"> A UNE VOIX — ET ELLE COMPTE</w:t>
            </w:r>
          </w:p>
        </w:tc>
      </w:tr>
    </w:tbl>
    <w:p w14:paraId="28E7168D" w14:textId="77777777" w:rsidR="00C8749E" w:rsidRPr="00EB01F1" w:rsidRDefault="008D2FBD">
      <w:pPr>
        <w:spacing w:after="100"/>
        <w:jc w:val="center"/>
        <w:rPr>
          <w:sz w:val="32"/>
          <w:szCs w:val="32"/>
        </w:rPr>
      </w:pPr>
      <w:r w:rsidRPr="00EB01F1">
        <w:rPr>
          <w:rFonts w:ascii="Arial" w:eastAsia="Arial" w:hAnsi="Arial" w:cs="Arial"/>
          <w:b/>
          <w:bCs/>
          <w:color w:val="E4572E"/>
          <w:sz w:val="32"/>
          <w:szCs w:val="32"/>
        </w:rPr>
        <w:t>VICTOIRE DEVANT LA COUR DE CASSATION !</w:t>
      </w:r>
    </w:p>
    <w:p w14:paraId="642A4D7D" w14:textId="77777777" w:rsidR="00DC45D5" w:rsidRPr="00DC45D5" w:rsidRDefault="00DC45D5" w:rsidP="00DC45D5">
      <w:pPr>
        <w:spacing w:before="100" w:beforeAutospacing="1" w:after="100" w:afterAutospacing="1"/>
        <w:outlineLvl w:val="1"/>
        <w:rPr>
          <w:rFonts w:ascii="Arial" w:eastAsia="Arial" w:hAnsi="Arial" w:cs="Arial"/>
          <w:b/>
          <w:bCs/>
          <w:color w:val="2B2B2B"/>
          <w:sz w:val="24"/>
          <w:szCs w:val="24"/>
        </w:rPr>
      </w:pPr>
      <w:r w:rsidRPr="00DC45D5">
        <w:rPr>
          <w:rFonts w:ascii="Arial" w:eastAsia="Arial" w:hAnsi="Arial" w:cs="Arial"/>
          <w:b/>
          <w:bCs/>
          <w:color w:val="2B2B2B"/>
          <w:sz w:val="24"/>
          <w:szCs w:val="24"/>
        </w:rPr>
        <w:t>La CFE-CGC Santé Social obtient le droit de participer aux négociations de la future Convention Collective Unique Étendue (CCUE)</w:t>
      </w:r>
    </w:p>
    <w:p w14:paraId="5BD5CA8B" w14:textId="77777777" w:rsidR="00DC45D5" w:rsidRPr="00FB7E4E" w:rsidRDefault="00DC45D5" w:rsidP="00DC45D5">
      <w:pPr>
        <w:spacing w:before="100" w:beforeAutospacing="1" w:after="100" w:afterAutospacing="1"/>
        <w:outlineLvl w:val="0"/>
        <w:rPr>
          <w:b/>
          <w:bCs/>
          <w:kern w:val="36"/>
          <w:sz w:val="28"/>
          <w:szCs w:val="28"/>
        </w:rPr>
      </w:pPr>
      <w:r w:rsidRPr="00FB7E4E">
        <w:rPr>
          <w:rFonts w:ascii="Segoe UI Emoji" w:hAnsi="Segoe UI Emoji" w:cs="Segoe UI Emoji"/>
          <w:b/>
          <w:bCs/>
          <w:kern w:val="36"/>
          <w:sz w:val="28"/>
          <w:szCs w:val="28"/>
        </w:rPr>
        <w:t>⚖️</w:t>
      </w:r>
      <w:r w:rsidRPr="00FB7E4E">
        <w:rPr>
          <w:b/>
          <w:bCs/>
          <w:kern w:val="36"/>
          <w:sz w:val="28"/>
          <w:szCs w:val="28"/>
        </w:rPr>
        <w:t xml:space="preserve"> UNE DÉCISION HISTORIQUE</w:t>
      </w:r>
    </w:p>
    <w:p w14:paraId="33C8301B" w14:textId="06A831AD" w:rsidR="00DC45D5" w:rsidRDefault="00DC45D5" w:rsidP="00FB7E4E">
      <w:pPr>
        <w:rPr>
          <w:sz w:val="22"/>
          <w:szCs w:val="22"/>
        </w:rPr>
      </w:pPr>
      <w:r w:rsidRPr="00FB7E4E">
        <w:rPr>
          <w:sz w:val="22"/>
          <w:szCs w:val="22"/>
        </w:rPr>
        <w:t xml:space="preserve">Le </w:t>
      </w:r>
      <w:r w:rsidRPr="00FB7E4E">
        <w:rPr>
          <w:b/>
          <w:bCs/>
          <w:sz w:val="22"/>
          <w:szCs w:val="22"/>
        </w:rPr>
        <w:t>8 juillet 2026</w:t>
      </w:r>
      <w:r w:rsidRPr="00FB7E4E">
        <w:rPr>
          <w:sz w:val="22"/>
          <w:szCs w:val="22"/>
        </w:rPr>
        <w:t xml:space="preserve">, la Cour de cassation, dans un arrêt publié au Bulletin, a donné raison à la </w:t>
      </w:r>
      <w:r w:rsidRPr="00FB7E4E">
        <w:rPr>
          <w:b/>
          <w:bCs/>
          <w:color w:val="2F5496" w:themeColor="accent1" w:themeShade="BF"/>
          <w:sz w:val="22"/>
          <w:szCs w:val="22"/>
        </w:rPr>
        <w:t>CFE-CGC Santé Social</w:t>
      </w:r>
      <w:r w:rsidRPr="00FB7E4E">
        <w:rPr>
          <w:color w:val="2F5496" w:themeColor="accent1" w:themeShade="BF"/>
          <w:sz w:val="22"/>
          <w:szCs w:val="22"/>
        </w:rPr>
        <w:t xml:space="preserve"> </w:t>
      </w:r>
      <w:r w:rsidRPr="00FB7E4E">
        <w:rPr>
          <w:sz w:val="22"/>
          <w:szCs w:val="22"/>
        </w:rPr>
        <w:t xml:space="preserve">et à la </w:t>
      </w:r>
      <w:r w:rsidRPr="00FB7E4E">
        <w:rPr>
          <w:b/>
          <w:bCs/>
          <w:sz w:val="22"/>
          <w:szCs w:val="22"/>
        </w:rPr>
        <w:t>CFTC Santé-Sociaux</w:t>
      </w:r>
      <w:r w:rsidRPr="00FB7E4E">
        <w:rPr>
          <w:sz w:val="22"/>
          <w:szCs w:val="22"/>
        </w:rPr>
        <w:t>.</w:t>
      </w:r>
    </w:p>
    <w:p w14:paraId="3DA0AAED" w14:textId="77777777" w:rsidR="00FB7E4E" w:rsidRPr="00EB01F1" w:rsidRDefault="00FB7E4E" w:rsidP="00FB7E4E">
      <w:pPr>
        <w:rPr>
          <w:sz w:val="16"/>
          <w:szCs w:val="16"/>
        </w:rPr>
      </w:pPr>
    </w:p>
    <w:p w14:paraId="21EA4E15" w14:textId="77777777" w:rsidR="00DC45D5" w:rsidRDefault="00DC45D5" w:rsidP="00FB7E4E">
      <w:pPr>
        <w:rPr>
          <w:sz w:val="22"/>
          <w:szCs w:val="22"/>
        </w:rPr>
      </w:pPr>
      <w:r w:rsidRPr="00FB7E4E">
        <w:rPr>
          <w:sz w:val="22"/>
          <w:szCs w:val="22"/>
        </w:rPr>
        <w:t xml:space="preserve">Après plusieurs années de procédure contre </w:t>
      </w:r>
      <w:r w:rsidRPr="00FB7E4E">
        <w:rPr>
          <w:b/>
          <w:bCs/>
          <w:sz w:val="22"/>
          <w:szCs w:val="22"/>
        </w:rPr>
        <w:t>AXESS</w:t>
      </w:r>
      <w:r w:rsidRPr="00FB7E4E">
        <w:rPr>
          <w:sz w:val="22"/>
          <w:szCs w:val="22"/>
        </w:rPr>
        <w:t xml:space="preserve">, la plus haute juridiction judiciaire reconnaît notre droit à participer aux négociations de la future </w:t>
      </w:r>
      <w:r w:rsidRPr="00FB7E4E">
        <w:rPr>
          <w:b/>
          <w:bCs/>
          <w:sz w:val="22"/>
          <w:szCs w:val="22"/>
        </w:rPr>
        <w:t>Convention Collective Unique Étendue (CCUE)</w:t>
      </w:r>
      <w:r w:rsidRPr="00FB7E4E">
        <w:rPr>
          <w:sz w:val="22"/>
          <w:szCs w:val="22"/>
        </w:rPr>
        <w:t xml:space="preserve"> du secteur sanitaire, social et médico-social.</w:t>
      </w:r>
    </w:p>
    <w:p w14:paraId="01407FF7" w14:textId="77777777" w:rsidR="00FB7E4E" w:rsidRPr="00EB01F1" w:rsidRDefault="00FB7E4E" w:rsidP="00FB7E4E">
      <w:pPr>
        <w:rPr>
          <w:sz w:val="16"/>
          <w:szCs w:val="16"/>
        </w:rPr>
      </w:pPr>
    </w:p>
    <w:p w14:paraId="5B388F1A" w14:textId="4A5E892A" w:rsidR="00DC45D5" w:rsidRDefault="00DC45D5" w:rsidP="00FB7E4E">
      <w:pPr>
        <w:rPr>
          <w:sz w:val="22"/>
          <w:szCs w:val="22"/>
        </w:rPr>
      </w:pPr>
      <w:r w:rsidRPr="00FB7E4E">
        <w:rPr>
          <w:sz w:val="22"/>
          <w:szCs w:val="22"/>
        </w:rPr>
        <w:t>La cour d'appel de Paris nous avait déboutés en estimant qu'à défaut de fusion formelle des branches, seules les organisations représentatives dans le champ de l'accord formation professionnelle de 2015 pouvaient siéger à la table des négociations.</w:t>
      </w:r>
    </w:p>
    <w:p w14:paraId="6B5067BA" w14:textId="77777777" w:rsidR="00EB01F1" w:rsidRPr="00FB7E4E" w:rsidRDefault="00EB01F1" w:rsidP="00FB7E4E">
      <w:pPr>
        <w:rPr>
          <w:sz w:val="22"/>
          <w:szCs w:val="22"/>
        </w:rPr>
      </w:pPr>
    </w:p>
    <w:p w14:paraId="7D96B1AC" w14:textId="77777777" w:rsidR="00EB01F1" w:rsidRDefault="00DC45D5" w:rsidP="00EB01F1">
      <w:pPr>
        <w:rPr>
          <w:sz w:val="22"/>
          <w:szCs w:val="22"/>
        </w:rPr>
      </w:pPr>
      <w:r w:rsidRPr="00FB7E4E">
        <w:rPr>
          <w:b/>
          <w:bCs/>
          <w:sz w:val="22"/>
          <w:szCs w:val="22"/>
        </w:rPr>
        <w:t>La Cour de cassation annule cette décision.</w:t>
      </w:r>
    </w:p>
    <w:p w14:paraId="2560F35D" w14:textId="681EB871" w:rsidR="00DC45D5" w:rsidRPr="00FB7E4E" w:rsidRDefault="00DC45D5" w:rsidP="00EB01F1">
      <w:pPr>
        <w:rPr>
          <w:sz w:val="22"/>
          <w:szCs w:val="22"/>
        </w:rPr>
      </w:pPr>
      <w:r w:rsidRPr="00FB7E4E">
        <w:rPr>
          <w:sz w:val="22"/>
          <w:szCs w:val="22"/>
        </w:rPr>
        <w:t xml:space="preserve">Elle rappelle que la future CCUE est destinée à remplacer les conventions collectives existantes, notamment la </w:t>
      </w:r>
      <w:r w:rsidRPr="00FB7E4E">
        <w:rPr>
          <w:b/>
          <w:bCs/>
          <w:sz w:val="22"/>
          <w:szCs w:val="22"/>
        </w:rPr>
        <w:t>CCN51</w:t>
      </w:r>
      <w:r w:rsidRPr="00FB7E4E">
        <w:rPr>
          <w:sz w:val="22"/>
          <w:szCs w:val="22"/>
        </w:rPr>
        <w:t>, dans laquelle notre fédération est représentative.</w:t>
      </w:r>
    </w:p>
    <w:p w14:paraId="5D9E275F" w14:textId="4AE9F9D0" w:rsidR="00134665" w:rsidRPr="00FB7E4E" w:rsidRDefault="00DC45D5" w:rsidP="00FB7E4E">
      <w:pPr>
        <w:spacing w:before="100" w:beforeAutospacing="1" w:after="100" w:afterAutospacing="1"/>
        <w:rPr>
          <w:rFonts w:ascii="Arial" w:eastAsia="Arial" w:hAnsi="Arial" w:cs="Arial"/>
          <w:sz w:val="22"/>
          <w:szCs w:val="22"/>
        </w:rPr>
      </w:pPr>
      <w:r w:rsidRPr="00FB7E4E">
        <w:rPr>
          <w:rFonts w:ascii="Segoe UI Emoji" w:hAnsi="Segoe UI Emoji" w:cs="Segoe UI Emoji"/>
          <w:sz w:val="22"/>
          <w:szCs w:val="22"/>
        </w:rPr>
        <w:t>➡️</w:t>
      </w:r>
      <w:r w:rsidRPr="00FB7E4E">
        <w:rPr>
          <w:sz w:val="22"/>
          <w:szCs w:val="22"/>
        </w:rPr>
        <w:t xml:space="preserve"> </w:t>
      </w:r>
      <w:r w:rsidRPr="00FB7E4E">
        <w:rPr>
          <w:b/>
          <w:bCs/>
          <w:sz w:val="22"/>
          <w:szCs w:val="22"/>
        </w:rPr>
        <w:t xml:space="preserve">En application du principe de concordance, la </w:t>
      </w:r>
      <w:r w:rsidRPr="00FB7E4E">
        <w:rPr>
          <w:b/>
          <w:bCs/>
          <w:color w:val="2F5496" w:themeColor="accent1" w:themeShade="BF"/>
          <w:sz w:val="22"/>
          <w:szCs w:val="22"/>
        </w:rPr>
        <w:t xml:space="preserve">CFE-CGC Santé Social </w:t>
      </w:r>
      <w:r w:rsidRPr="00FB7E4E">
        <w:rPr>
          <w:b/>
          <w:bCs/>
          <w:sz w:val="22"/>
          <w:szCs w:val="22"/>
        </w:rPr>
        <w:t>doit participer aux négociations de la future CCUE, quelle que soit la forme retenue pour la restructuration des branches.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50"/>
      </w:tblGrid>
      <w:tr w:rsidR="00C8749E" w:rsidRPr="00FB7E4E" w14:paraId="04FBCCF7" w14:textId="77777777">
        <w:tc>
          <w:tcPr>
            <w:tcW w:w="10206" w:type="dxa"/>
            <w:tcBorders>
              <w:top w:val="single" w:sz="6" w:space="0" w:color="1B3A6B"/>
              <w:left w:val="single" w:sz="6" w:space="0" w:color="1B3A6B"/>
              <w:bottom w:val="single" w:sz="6" w:space="0" w:color="1B3A6B"/>
              <w:right w:val="single" w:sz="6" w:space="0" w:color="1B3A6B"/>
            </w:tcBorders>
            <w:shd w:val="clear" w:color="auto" w:fill="F2F2F2"/>
            <w:tcMar>
              <w:top w:w="180" w:type="dxa"/>
              <w:left w:w="260" w:type="dxa"/>
              <w:bottom w:w="180" w:type="dxa"/>
              <w:right w:w="260" w:type="dxa"/>
            </w:tcMar>
          </w:tcPr>
          <w:p w14:paraId="33F9C759" w14:textId="77777777" w:rsidR="00C8749E" w:rsidRPr="00FB7E4E" w:rsidRDefault="008D2FBD">
            <w:pPr>
              <w:spacing w:after="100"/>
              <w:rPr>
                <w:sz w:val="22"/>
                <w:szCs w:val="22"/>
              </w:rPr>
            </w:pPr>
            <w:r w:rsidRPr="00FB7E4E">
              <w:rPr>
                <w:rFonts w:ascii="Arial" w:eastAsia="Arial" w:hAnsi="Arial" w:cs="Arial"/>
                <w:b/>
                <w:bCs/>
                <w:color w:val="1B3A6B"/>
                <w:sz w:val="22"/>
                <w:szCs w:val="22"/>
              </w:rPr>
              <w:t>OÙ EN SONT LES NÉGOCIATIONS DE LA CCUE ?</w:t>
            </w:r>
          </w:p>
          <w:p w14:paraId="43C24439" w14:textId="77777777" w:rsidR="00FB7E4E" w:rsidRDefault="008D2FBD" w:rsidP="00FB7E4E">
            <w:pPr>
              <w:jc w:val="both"/>
              <w:rPr>
                <w:rFonts w:ascii="Arial" w:eastAsia="Arial" w:hAnsi="Arial" w:cs="Arial"/>
                <w:b/>
                <w:bCs/>
                <w:sz w:val="22"/>
                <w:szCs w:val="22"/>
              </w:rPr>
            </w:pPr>
            <w:r w:rsidRPr="00FB7E4E">
              <w:rPr>
                <w:rFonts w:ascii="Arial" w:eastAsia="Arial" w:hAnsi="Arial" w:cs="Arial"/>
                <w:sz w:val="22"/>
                <w:szCs w:val="22"/>
              </w:rPr>
              <w:t xml:space="preserve">À ce jour, les discussions engagées en commission mixte paritaire sont </w:t>
            </w:r>
            <w:r w:rsidRPr="00FB7E4E">
              <w:rPr>
                <w:rFonts w:ascii="Arial" w:eastAsia="Arial" w:hAnsi="Arial" w:cs="Arial"/>
                <w:b/>
                <w:bCs/>
                <w:sz w:val="22"/>
                <w:szCs w:val="22"/>
              </w:rPr>
              <w:t>au point mort</w:t>
            </w:r>
            <w:r w:rsidRPr="00FB7E4E">
              <w:rPr>
                <w:rFonts w:ascii="Arial" w:eastAsia="Arial" w:hAnsi="Arial" w:cs="Arial"/>
                <w:sz w:val="22"/>
                <w:szCs w:val="22"/>
              </w:rPr>
              <w:t xml:space="preserve">. Mais notre victoire change durablement la donne : </w:t>
            </w:r>
            <w:r w:rsidRPr="00FB7E4E">
              <w:rPr>
                <w:rFonts w:ascii="Arial" w:eastAsia="Arial" w:hAnsi="Arial" w:cs="Arial"/>
                <w:b/>
                <w:bCs/>
                <w:sz w:val="22"/>
                <w:szCs w:val="22"/>
              </w:rPr>
              <w:t>le jour où elles reprendront, la CFE-CGC Santé Social siégera de plein droit à la table des négociations.</w:t>
            </w:r>
          </w:p>
          <w:p w14:paraId="10616F69" w14:textId="0270FDB9" w:rsidR="00DC45D5" w:rsidRPr="00FB7E4E" w:rsidRDefault="00DC45D5" w:rsidP="00FB7E4E">
            <w:pPr>
              <w:jc w:val="both"/>
              <w:rPr>
                <w:rFonts w:ascii="Arial" w:eastAsia="Arial" w:hAnsi="Arial" w:cs="Arial"/>
                <w:b/>
                <w:bCs/>
                <w:sz w:val="22"/>
                <w:szCs w:val="22"/>
              </w:rPr>
            </w:pPr>
            <w:r w:rsidRPr="00FB7E4E">
              <w:rPr>
                <w:sz w:val="22"/>
                <w:szCs w:val="22"/>
              </w:rPr>
              <w:t xml:space="preserve">Nous serons présents pour défendre les intérêts des </w:t>
            </w:r>
            <w:r w:rsidR="00FB7E4E">
              <w:rPr>
                <w:sz w:val="22"/>
                <w:szCs w:val="22"/>
              </w:rPr>
              <w:t>salariés.</w:t>
            </w:r>
          </w:p>
        </w:tc>
      </w:tr>
    </w:tbl>
    <w:p w14:paraId="1D266B2C" w14:textId="77777777" w:rsidR="00134665" w:rsidRPr="00FB7E4E" w:rsidRDefault="00134665">
      <w:pPr>
        <w:spacing w:after="100"/>
        <w:rPr>
          <w:rFonts w:ascii="Arial" w:eastAsia="Arial" w:hAnsi="Arial" w:cs="Arial"/>
          <w:b/>
          <w:bCs/>
          <w:color w:val="E4572E"/>
          <w:sz w:val="22"/>
          <w:szCs w:val="22"/>
        </w:rPr>
      </w:pPr>
    </w:p>
    <w:p w14:paraId="5FC5D3A0" w14:textId="62B6E2C4" w:rsidR="00C8749E" w:rsidRPr="00FB7E4E" w:rsidRDefault="008D2FBD">
      <w:pPr>
        <w:spacing w:after="100"/>
        <w:rPr>
          <w:sz w:val="22"/>
          <w:szCs w:val="22"/>
        </w:rPr>
      </w:pPr>
      <w:r w:rsidRPr="00FB7E4E">
        <w:rPr>
          <w:rFonts w:ascii="Arial" w:eastAsia="Arial" w:hAnsi="Arial" w:cs="Arial"/>
          <w:b/>
          <w:bCs/>
          <w:color w:val="E4572E"/>
          <w:sz w:val="22"/>
          <w:szCs w:val="22"/>
        </w:rPr>
        <w:t>CE QUE CETTE VICTOIRE CHANGE POUR VOUS</w:t>
      </w:r>
    </w:p>
    <w:p w14:paraId="3E1AD8DB" w14:textId="77777777" w:rsidR="005F2EE7" w:rsidRPr="00FB7E4E" w:rsidRDefault="008D2FBD" w:rsidP="00FB7E4E">
      <w:pPr>
        <w:rPr>
          <w:sz w:val="22"/>
          <w:szCs w:val="22"/>
        </w:rPr>
      </w:pPr>
      <w:proofErr w:type="gramStart"/>
      <w:r w:rsidRPr="00FB7E4E">
        <w:rPr>
          <w:rFonts w:ascii="Arial" w:eastAsia="Arial" w:hAnsi="Arial" w:cs="Arial"/>
          <w:b/>
          <w:bCs/>
          <w:color w:val="E4572E"/>
          <w:sz w:val="22"/>
          <w:szCs w:val="22"/>
        </w:rPr>
        <w:t xml:space="preserve">● </w:t>
      </w:r>
      <w:r w:rsidR="00134665" w:rsidRPr="00FB7E4E">
        <w:rPr>
          <w:rFonts w:ascii="Arial" w:eastAsia="Arial" w:hAnsi="Arial" w:cs="Arial"/>
          <w:b/>
          <w:bCs/>
          <w:color w:val="E4572E"/>
          <w:sz w:val="22"/>
          <w:szCs w:val="22"/>
        </w:rPr>
        <w:t xml:space="preserve"> </w:t>
      </w:r>
      <w:r w:rsidR="005F2EE7" w:rsidRPr="00FB7E4E">
        <w:rPr>
          <w:rFonts w:ascii="Arial" w:eastAsia="Arial" w:hAnsi="Arial" w:cs="Arial"/>
          <w:b/>
          <w:bCs/>
          <w:sz w:val="22"/>
          <w:szCs w:val="22"/>
        </w:rPr>
        <w:t>Vos</w:t>
      </w:r>
      <w:proofErr w:type="gramEnd"/>
      <w:r w:rsidR="005F2EE7" w:rsidRPr="00FB7E4E">
        <w:rPr>
          <w:rFonts w:ascii="Arial" w:eastAsia="Arial" w:hAnsi="Arial" w:cs="Arial"/>
          <w:b/>
          <w:bCs/>
          <w:sz w:val="22"/>
          <w:szCs w:val="22"/>
        </w:rPr>
        <w:t xml:space="preserve"> droits seront défendus </w:t>
      </w:r>
      <w:r w:rsidRPr="00FB7E4E">
        <w:rPr>
          <w:rFonts w:ascii="Arial" w:eastAsia="Arial" w:hAnsi="Arial" w:cs="Arial"/>
          <w:b/>
          <w:bCs/>
          <w:sz w:val="22"/>
          <w:szCs w:val="22"/>
        </w:rPr>
        <w:t>:</w:t>
      </w:r>
      <w:r w:rsidRPr="00FB7E4E">
        <w:rPr>
          <w:rFonts w:ascii="Arial" w:eastAsia="Arial" w:hAnsi="Arial" w:cs="Arial"/>
          <w:sz w:val="22"/>
          <w:szCs w:val="22"/>
        </w:rPr>
        <w:t xml:space="preserve"> nous ne laisserons plus décider sans nous d'un texte qui régira</w:t>
      </w:r>
      <w:r w:rsidR="005F2EE7" w:rsidRPr="00FB7E4E">
        <w:rPr>
          <w:rFonts w:ascii="Arial" w:eastAsia="Arial" w:hAnsi="Arial" w:cs="Arial"/>
          <w:sz w:val="22"/>
          <w:szCs w:val="22"/>
        </w:rPr>
        <w:t xml:space="preserve"> </w:t>
      </w:r>
      <w:r w:rsidRPr="00FB7E4E">
        <w:rPr>
          <w:rFonts w:ascii="Arial" w:eastAsia="Arial" w:hAnsi="Arial" w:cs="Arial"/>
          <w:sz w:val="22"/>
          <w:szCs w:val="22"/>
        </w:rPr>
        <w:t>demain</w:t>
      </w:r>
      <w:r w:rsidRPr="00FB7E4E">
        <w:rPr>
          <w:rFonts w:ascii="Arial" w:eastAsia="Arial" w:hAnsi="Arial" w:cs="Arial"/>
          <w:sz w:val="22"/>
          <w:szCs w:val="22"/>
        </w:rPr>
        <w:t xml:space="preserve"> vos conditions de travail, votre classification et votre rémunération</w:t>
      </w:r>
      <w:r w:rsidR="005F2EE7" w:rsidRPr="00FB7E4E">
        <w:rPr>
          <w:rFonts w:ascii="Arial" w:eastAsia="Arial" w:hAnsi="Arial" w:cs="Arial"/>
          <w:sz w:val="22"/>
          <w:szCs w:val="22"/>
        </w:rPr>
        <w:t>, la reconnaissance des qualifications.</w:t>
      </w:r>
      <w:r w:rsidR="005F2EE7" w:rsidRPr="00FB7E4E">
        <w:rPr>
          <w:sz w:val="22"/>
          <w:szCs w:val="22"/>
        </w:rPr>
        <w:t xml:space="preserve"> </w:t>
      </w:r>
    </w:p>
    <w:p w14:paraId="278DBC66" w14:textId="77777777" w:rsidR="00FB7E4E" w:rsidRPr="00FB7E4E" w:rsidRDefault="008D2FBD" w:rsidP="00FB7E4E">
      <w:pPr>
        <w:rPr>
          <w:sz w:val="22"/>
          <w:szCs w:val="22"/>
        </w:rPr>
      </w:pPr>
      <w:proofErr w:type="gramStart"/>
      <w:r w:rsidRPr="00FB7E4E">
        <w:rPr>
          <w:rFonts w:ascii="Arial" w:eastAsia="Arial" w:hAnsi="Arial" w:cs="Arial"/>
          <w:b/>
          <w:bCs/>
          <w:color w:val="E4572E"/>
          <w:sz w:val="22"/>
          <w:szCs w:val="22"/>
        </w:rPr>
        <w:t xml:space="preserve">●  </w:t>
      </w:r>
      <w:r w:rsidRPr="00FB7E4E">
        <w:rPr>
          <w:rFonts w:ascii="Arial" w:eastAsia="Arial" w:hAnsi="Arial" w:cs="Arial"/>
          <w:b/>
          <w:bCs/>
          <w:sz w:val="22"/>
          <w:szCs w:val="22"/>
        </w:rPr>
        <w:t>Une</w:t>
      </w:r>
      <w:proofErr w:type="gramEnd"/>
      <w:r w:rsidRPr="00FB7E4E">
        <w:rPr>
          <w:rFonts w:ascii="Arial" w:eastAsia="Arial" w:hAnsi="Arial" w:cs="Arial"/>
          <w:b/>
          <w:bCs/>
          <w:sz w:val="22"/>
          <w:szCs w:val="22"/>
        </w:rPr>
        <w:t xml:space="preserve"> reconnaissance juridique forte :</w:t>
      </w:r>
      <w:r w:rsidRPr="00FB7E4E">
        <w:rPr>
          <w:rFonts w:ascii="Arial" w:eastAsia="Arial" w:hAnsi="Arial" w:cs="Arial"/>
          <w:sz w:val="22"/>
          <w:szCs w:val="22"/>
        </w:rPr>
        <w:t xml:space="preserve"> la Cour de cassation consacre le principe de concordance, un acquis qui dépasse ce seul dossier et protège la représentation des cadres dans toute restructuration de branche.</w:t>
      </w:r>
    </w:p>
    <w:p w14:paraId="4F499E52" w14:textId="1779C504" w:rsidR="005F2EE7" w:rsidRPr="00FB7E4E" w:rsidRDefault="00FB7E4E" w:rsidP="00FB7E4E">
      <w:pPr>
        <w:rPr>
          <w:sz w:val="22"/>
          <w:szCs w:val="22"/>
        </w:rPr>
      </w:pPr>
      <w:proofErr w:type="gramStart"/>
      <w:r w:rsidRPr="00FB7E4E">
        <w:rPr>
          <w:rFonts w:ascii="Arial" w:eastAsia="Arial" w:hAnsi="Arial" w:cs="Arial"/>
          <w:b/>
          <w:bCs/>
          <w:color w:val="E4572E"/>
          <w:sz w:val="22"/>
          <w:szCs w:val="22"/>
        </w:rPr>
        <w:t xml:space="preserve">●  </w:t>
      </w:r>
      <w:r w:rsidR="008D2FBD" w:rsidRPr="00FB7E4E">
        <w:rPr>
          <w:rFonts w:ascii="Arial" w:eastAsia="Arial" w:hAnsi="Arial" w:cs="Arial"/>
          <w:b/>
          <w:bCs/>
          <w:sz w:val="22"/>
          <w:szCs w:val="22"/>
        </w:rPr>
        <w:t>Une</w:t>
      </w:r>
      <w:proofErr w:type="gramEnd"/>
      <w:r w:rsidR="008D2FBD" w:rsidRPr="00FB7E4E">
        <w:rPr>
          <w:rFonts w:ascii="Arial" w:eastAsia="Arial" w:hAnsi="Arial" w:cs="Arial"/>
          <w:b/>
          <w:bCs/>
          <w:sz w:val="22"/>
          <w:szCs w:val="22"/>
        </w:rPr>
        <w:t xml:space="preserve"> vigilance maintenue :</w:t>
      </w:r>
      <w:r w:rsidR="008D2FBD" w:rsidRPr="00FB7E4E">
        <w:rPr>
          <w:rFonts w:ascii="Arial" w:eastAsia="Arial" w:hAnsi="Arial" w:cs="Arial"/>
          <w:sz w:val="22"/>
          <w:szCs w:val="22"/>
        </w:rPr>
        <w:t xml:space="preserve"> nous suivrons de près la reprise des négociations</w:t>
      </w:r>
      <w:r w:rsidR="005F2EE7" w:rsidRPr="00FB7E4E">
        <w:rPr>
          <w:rFonts w:ascii="Arial" w:eastAsia="Arial" w:hAnsi="Arial" w:cs="Arial"/>
          <w:sz w:val="22"/>
          <w:szCs w:val="22"/>
        </w:rPr>
        <w:t>.</w:t>
      </w:r>
      <w:r w:rsidR="008D2FBD" w:rsidRPr="00FB7E4E">
        <w:rPr>
          <w:rFonts w:ascii="Arial" w:eastAsia="Arial" w:hAnsi="Arial" w:cs="Arial"/>
          <w:sz w:val="22"/>
          <w:szCs w:val="22"/>
        </w:rPr>
        <w:t xml:space="preserve"> </w:t>
      </w:r>
      <w:r w:rsidR="005F2EE7" w:rsidRPr="00FB7E4E">
        <w:rPr>
          <w:rFonts w:ascii="Arial" w:eastAsia="Arial" w:hAnsi="Arial" w:cs="Arial"/>
          <w:sz w:val="22"/>
          <w:szCs w:val="22"/>
        </w:rPr>
        <w:t>À chaque étape, nous vous informerons en toute transparence des avancées et des enjeux.</w:t>
      </w:r>
    </w:p>
    <w:p w14:paraId="1ADA73DF" w14:textId="77777777" w:rsidR="005F2EE7" w:rsidRPr="00FB7E4E" w:rsidRDefault="005F2EE7" w:rsidP="00FB7E4E">
      <w:pPr>
        <w:spacing w:before="100" w:beforeAutospacing="1"/>
        <w:outlineLvl w:val="0"/>
        <w:rPr>
          <w:b/>
          <w:bCs/>
          <w:kern w:val="36"/>
          <w:sz w:val="22"/>
          <w:szCs w:val="22"/>
        </w:rPr>
      </w:pPr>
      <w:r w:rsidRPr="00FB7E4E">
        <w:rPr>
          <w:rFonts w:ascii="Arial" w:eastAsia="Arial" w:hAnsi="Arial" w:cs="Arial"/>
          <w:b/>
          <w:bCs/>
          <w:color w:val="E4572E"/>
          <w:sz w:val="22"/>
          <w:szCs w:val="22"/>
        </w:rPr>
        <w:t>NOTRE COMBAT CONTINUE</w:t>
      </w:r>
    </w:p>
    <w:p w14:paraId="2C123360" w14:textId="77777777" w:rsidR="00FB7E4E" w:rsidRDefault="005F2EE7" w:rsidP="00FB7E4E">
      <w:pPr>
        <w:rPr>
          <w:rFonts w:ascii="Arial" w:eastAsia="Arial" w:hAnsi="Arial" w:cs="Arial"/>
          <w:sz w:val="22"/>
          <w:szCs w:val="22"/>
        </w:rPr>
      </w:pPr>
      <w:r w:rsidRPr="00FB7E4E">
        <w:rPr>
          <w:rFonts w:ascii="Arial" w:eastAsia="Arial" w:hAnsi="Arial" w:cs="Arial"/>
          <w:sz w:val="22"/>
          <w:szCs w:val="22"/>
        </w:rPr>
        <w:t>Cette décision est une victoire importante.</w:t>
      </w:r>
      <w:r w:rsidRPr="00FB7E4E">
        <w:rPr>
          <w:rFonts w:ascii="Arial" w:eastAsia="Arial" w:hAnsi="Arial" w:cs="Arial"/>
          <w:sz w:val="22"/>
          <w:szCs w:val="22"/>
        </w:rPr>
        <w:t xml:space="preserve"> </w:t>
      </w:r>
      <w:r w:rsidRPr="00FB7E4E">
        <w:rPr>
          <w:rFonts w:ascii="Arial" w:eastAsia="Arial" w:hAnsi="Arial" w:cs="Arial"/>
          <w:sz w:val="22"/>
          <w:szCs w:val="22"/>
        </w:rPr>
        <w:t>Mais elle n'est qu'une étape.</w:t>
      </w:r>
    </w:p>
    <w:p w14:paraId="4384DB24" w14:textId="5D98055A" w:rsidR="005F2EE7" w:rsidRPr="00FB7E4E" w:rsidRDefault="005F2EE7" w:rsidP="00FB7E4E">
      <w:pPr>
        <w:rPr>
          <w:rFonts w:ascii="Arial" w:eastAsia="Arial" w:hAnsi="Arial" w:cs="Arial"/>
          <w:sz w:val="22"/>
          <w:szCs w:val="22"/>
        </w:rPr>
      </w:pPr>
      <w:r w:rsidRPr="00FB7E4E">
        <w:rPr>
          <w:rFonts w:ascii="Arial" w:eastAsia="Arial" w:hAnsi="Arial" w:cs="Arial"/>
          <w:sz w:val="22"/>
          <w:szCs w:val="22"/>
        </w:rPr>
        <w:t xml:space="preserve">Le véritable enjeu commence maintenant : </w:t>
      </w:r>
      <w:r w:rsidRPr="00FB7E4E">
        <w:rPr>
          <w:rFonts w:ascii="Arial" w:eastAsia="Arial" w:hAnsi="Arial" w:cs="Arial"/>
          <w:b/>
          <w:bCs/>
          <w:sz w:val="22"/>
          <w:szCs w:val="22"/>
        </w:rPr>
        <w:t>construire une Convention Collective Unique qui protège les salariés, reconnaisse les qualifications et améliore les conditions de travail de tous.</w:t>
      </w:r>
    </w:p>
    <w:p w14:paraId="5AD7D3C3" w14:textId="77777777" w:rsidR="005F2EE7" w:rsidRPr="00FB7E4E" w:rsidRDefault="005F2EE7" w:rsidP="005F2EE7">
      <w:pPr>
        <w:spacing w:before="100" w:beforeAutospacing="1" w:after="100" w:afterAutospacing="1"/>
        <w:rPr>
          <w:rFonts w:ascii="Arial" w:eastAsia="Arial" w:hAnsi="Arial" w:cs="Arial"/>
          <w:sz w:val="22"/>
          <w:szCs w:val="22"/>
        </w:rPr>
      </w:pPr>
      <w:r w:rsidRPr="00FB7E4E">
        <w:rPr>
          <w:rFonts w:ascii="Arial" w:eastAsia="Arial" w:hAnsi="Arial" w:cs="Arial"/>
          <w:sz w:val="22"/>
          <w:szCs w:val="22"/>
        </w:rPr>
        <w:t xml:space="preserve">La </w:t>
      </w:r>
      <w:r w:rsidRPr="00FB7E4E">
        <w:rPr>
          <w:rFonts w:ascii="Arial" w:eastAsia="Arial" w:hAnsi="Arial" w:cs="Arial"/>
          <w:color w:val="2F5496" w:themeColor="accent1" w:themeShade="BF"/>
          <w:sz w:val="22"/>
          <w:szCs w:val="22"/>
        </w:rPr>
        <w:t xml:space="preserve">CFE-CGC Santé Social </w:t>
      </w:r>
      <w:r w:rsidRPr="00FB7E4E">
        <w:rPr>
          <w:rFonts w:ascii="Arial" w:eastAsia="Arial" w:hAnsi="Arial" w:cs="Arial"/>
          <w:sz w:val="22"/>
          <w:szCs w:val="22"/>
        </w:rPr>
        <w:t>prendra toute sa place dans cette négociation et défendra avec détermination les intérêts des professionnels du secteur sanitaire, social et médico-social.</w:t>
      </w:r>
    </w:p>
    <w:p w14:paraId="732C1686" w14:textId="77777777" w:rsidR="00FB7E4E" w:rsidRDefault="008D2FBD" w:rsidP="00FB7E4E">
      <w:pPr>
        <w:spacing w:before="100" w:after="60"/>
        <w:jc w:val="center"/>
        <w:rPr>
          <w:rFonts w:ascii="Arial" w:eastAsia="Arial" w:hAnsi="Arial" w:cs="Arial"/>
          <w:b/>
          <w:bCs/>
          <w:i/>
          <w:iCs/>
          <w:color w:val="1B3A6B"/>
          <w:sz w:val="22"/>
          <w:szCs w:val="22"/>
        </w:rPr>
      </w:pPr>
      <w:r w:rsidRPr="00FB7E4E">
        <w:rPr>
          <w:rFonts w:ascii="Arial" w:eastAsia="Arial" w:hAnsi="Arial" w:cs="Arial"/>
          <w:b/>
          <w:bCs/>
          <w:i/>
          <w:iCs/>
          <w:color w:val="1B3A6B"/>
          <w:sz w:val="22"/>
          <w:szCs w:val="22"/>
        </w:rPr>
        <w:t xml:space="preserve">Cette victoire est la vôtre. Elle démontre qu'un syndicalisme déterminé </w:t>
      </w:r>
      <w:r w:rsidRPr="00FB7E4E">
        <w:rPr>
          <w:rFonts w:ascii="Arial" w:eastAsia="Arial" w:hAnsi="Arial" w:cs="Arial"/>
          <w:b/>
          <w:bCs/>
          <w:i/>
          <w:iCs/>
          <w:color w:val="1B3A6B"/>
          <w:sz w:val="22"/>
          <w:szCs w:val="22"/>
        </w:rPr>
        <w:t xml:space="preserve">et exigeant </w:t>
      </w:r>
    </w:p>
    <w:p w14:paraId="648EA7FD" w14:textId="77777777" w:rsidR="00EB01F1" w:rsidRDefault="008D2FBD" w:rsidP="00EB01F1">
      <w:pPr>
        <w:spacing w:before="100" w:after="60"/>
        <w:jc w:val="center"/>
        <w:rPr>
          <w:rFonts w:ascii="Arial" w:eastAsia="Arial" w:hAnsi="Arial" w:cs="Arial"/>
          <w:b/>
          <w:bCs/>
          <w:sz w:val="22"/>
          <w:szCs w:val="22"/>
        </w:rPr>
      </w:pPr>
      <w:proofErr w:type="gramStart"/>
      <w:r w:rsidRPr="00FB7E4E">
        <w:rPr>
          <w:rFonts w:ascii="Arial" w:eastAsia="Arial" w:hAnsi="Arial" w:cs="Arial"/>
          <w:b/>
          <w:bCs/>
          <w:i/>
          <w:iCs/>
          <w:color w:val="1B3A6B"/>
          <w:sz w:val="22"/>
          <w:szCs w:val="22"/>
        </w:rPr>
        <w:t>fait</w:t>
      </w:r>
      <w:proofErr w:type="gramEnd"/>
      <w:r w:rsidRPr="00FB7E4E">
        <w:rPr>
          <w:rFonts w:ascii="Arial" w:eastAsia="Arial" w:hAnsi="Arial" w:cs="Arial"/>
          <w:b/>
          <w:bCs/>
          <w:i/>
          <w:iCs/>
          <w:color w:val="1B3A6B"/>
          <w:sz w:val="22"/>
          <w:szCs w:val="22"/>
        </w:rPr>
        <w:t xml:space="preserve"> bouger les lignes.</w:t>
      </w:r>
      <w:r w:rsidR="00FB7E4E">
        <w:rPr>
          <w:sz w:val="22"/>
          <w:szCs w:val="22"/>
        </w:rPr>
        <w:t xml:space="preserve"> </w:t>
      </w:r>
      <w:r w:rsidRPr="00FB7E4E">
        <w:rPr>
          <w:rFonts w:ascii="Arial" w:eastAsia="Arial" w:hAnsi="Arial" w:cs="Arial"/>
          <w:b/>
          <w:bCs/>
          <w:sz w:val="22"/>
          <w:szCs w:val="22"/>
        </w:rPr>
        <w:t>Restons mobilisés, informés et unis.</w:t>
      </w:r>
    </w:p>
    <w:p w14:paraId="1B9030C9" w14:textId="680B9D0D" w:rsidR="00DC45D5" w:rsidRPr="00EB01F1" w:rsidRDefault="005F2EE7" w:rsidP="00EB01F1">
      <w:pPr>
        <w:spacing w:before="100" w:after="60"/>
        <w:jc w:val="center"/>
        <w:rPr>
          <w:b/>
          <w:bCs/>
          <w:color w:val="2F5496" w:themeColor="accent1" w:themeShade="BF"/>
          <w:sz w:val="28"/>
          <w:szCs w:val="28"/>
          <w:u w:val="single"/>
        </w:rPr>
      </w:pPr>
      <w:r w:rsidRPr="00FB7E4E">
        <w:rPr>
          <w:b/>
          <w:bCs/>
          <w:color w:val="2F5496" w:themeColor="accent1" w:themeShade="BF"/>
          <w:sz w:val="28"/>
          <w:szCs w:val="28"/>
          <w:u w:val="single"/>
        </w:rPr>
        <w:t>CFE-CGC Santé Social</w:t>
      </w:r>
      <w:r w:rsidRPr="00FB7E4E">
        <w:rPr>
          <w:b/>
          <w:bCs/>
          <w:color w:val="2F5496" w:themeColor="accent1" w:themeShade="BF"/>
          <w:sz w:val="28"/>
          <w:szCs w:val="28"/>
          <w:u w:val="single"/>
        </w:rPr>
        <w:t xml:space="preserve"> : </w:t>
      </w:r>
      <w:r w:rsidRPr="00FB7E4E">
        <w:rPr>
          <w:b/>
          <w:bCs/>
          <w:color w:val="2F5496" w:themeColor="accent1" w:themeShade="BF"/>
          <w:sz w:val="28"/>
          <w:szCs w:val="28"/>
          <w:u w:val="single"/>
        </w:rPr>
        <w:t>Votre expertise • Votre représentation • Vos droits</w:t>
      </w:r>
    </w:p>
    <w:sectPr w:rsidR="00DC45D5" w:rsidRPr="00EB01F1" w:rsidSect="00EB01F1">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29DA"/>
    <w:multiLevelType w:val="hybridMultilevel"/>
    <w:tmpl w:val="45BE1E80"/>
    <w:lvl w:ilvl="0" w:tplc="74A45898">
      <w:start w:val="1"/>
      <w:numFmt w:val="bullet"/>
      <w:lvlText w:val="●"/>
      <w:lvlJc w:val="left"/>
      <w:pPr>
        <w:ind w:left="720" w:hanging="360"/>
      </w:pPr>
    </w:lvl>
    <w:lvl w:ilvl="1" w:tplc="422E6C1C">
      <w:start w:val="1"/>
      <w:numFmt w:val="bullet"/>
      <w:lvlText w:val="○"/>
      <w:lvlJc w:val="left"/>
      <w:pPr>
        <w:ind w:left="1440" w:hanging="360"/>
      </w:pPr>
    </w:lvl>
    <w:lvl w:ilvl="2" w:tplc="C56C3732">
      <w:start w:val="1"/>
      <w:numFmt w:val="bullet"/>
      <w:lvlText w:val="■"/>
      <w:lvlJc w:val="left"/>
      <w:pPr>
        <w:ind w:left="2160" w:hanging="360"/>
      </w:pPr>
    </w:lvl>
    <w:lvl w:ilvl="3" w:tplc="DFA4314A">
      <w:start w:val="1"/>
      <w:numFmt w:val="bullet"/>
      <w:lvlText w:val="●"/>
      <w:lvlJc w:val="left"/>
      <w:pPr>
        <w:ind w:left="2880" w:hanging="360"/>
      </w:pPr>
    </w:lvl>
    <w:lvl w:ilvl="4" w:tplc="48E61DC6">
      <w:start w:val="1"/>
      <w:numFmt w:val="bullet"/>
      <w:lvlText w:val="○"/>
      <w:lvlJc w:val="left"/>
      <w:pPr>
        <w:ind w:left="3600" w:hanging="360"/>
      </w:pPr>
    </w:lvl>
    <w:lvl w:ilvl="5" w:tplc="9C06FFBC">
      <w:start w:val="1"/>
      <w:numFmt w:val="bullet"/>
      <w:lvlText w:val="■"/>
      <w:lvlJc w:val="left"/>
      <w:pPr>
        <w:ind w:left="4320" w:hanging="360"/>
      </w:pPr>
    </w:lvl>
    <w:lvl w:ilvl="6" w:tplc="83E0C082">
      <w:start w:val="1"/>
      <w:numFmt w:val="bullet"/>
      <w:lvlText w:val="●"/>
      <w:lvlJc w:val="left"/>
      <w:pPr>
        <w:ind w:left="5040" w:hanging="360"/>
      </w:pPr>
    </w:lvl>
    <w:lvl w:ilvl="7" w:tplc="BF8CF8C2">
      <w:start w:val="1"/>
      <w:numFmt w:val="bullet"/>
      <w:lvlText w:val="●"/>
      <w:lvlJc w:val="left"/>
      <w:pPr>
        <w:ind w:left="5760" w:hanging="360"/>
      </w:pPr>
    </w:lvl>
    <w:lvl w:ilvl="8" w:tplc="D7E28676">
      <w:start w:val="1"/>
      <w:numFmt w:val="bullet"/>
      <w:lvlText w:val="●"/>
      <w:lvlJc w:val="left"/>
      <w:pPr>
        <w:ind w:left="6480" w:hanging="360"/>
      </w:pPr>
    </w:lvl>
  </w:abstractNum>
  <w:num w:numId="1" w16cid:durableId="1620135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49E"/>
    <w:rsid w:val="00134665"/>
    <w:rsid w:val="005F2EE7"/>
    <w:rsid w:val="008D2FBD"/>
    <w:rsid w:val="00C8749E"/>
    <w:rsid w:val="00D85E4B"/>
    <w:rsid w:val="00DC45D5"/>
    <w:rsid w:val="00EB01F1"/>
    <w:rsid w:val="00F95542"/>
    <w:rsid w:val="00FA141E"/>
    <w:rsid w:val="00FB7E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78C58"/>
  <w15:docId w15:val="{079A9B93-3DBC-4B18-90BA-B0AA30FA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2552</Characters>
  <Application>Microsoft Office Word</Application>
  <DocSecurity>4</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Ali FRAIN</cp:lastModifiedBy>
  <cp:revision>2</cp:revision>
  <dcterms:created xsi:type="dcterms:W3CDTF">2026-07-15T08:35:00Z</dcterms:created>
  <dcterms:modified xsi:type="dcterms:W3CDTF">2026-07-15T08:35:00Z</dcterms:modified>
</cp:coreProperties>
</file>